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AA2" w:rsidRDefault="00BB3AA2" w:rsidP="00BB3AA2">
      <w:pPr>
        <w:pStyle w:val="a3"/>
        <w:ind w:firstLine="708"/>
        <w:jc w:val="both"/>
        <w:rPr>
          <w:rFonts w:ascii="Times New Roman" w:hAnsi="Times New Roman" w:cs="Times New Roman"/>
          <w:b/>
          <w:bCs/>
          <w:sz w:val="28"/>
          <w:szCs w:val="28"/>
        </w:rPr>
      </w:pPr>
      <w:r>
        <w:rPr>
          <w:rFonts w:ascii="Times New Roman" w:hAnsi="Times New Roman" w:cs="Times New Roman"/>
          <w:b/>
          <w:bCs/>
          <w:sz w:val="28"/>
          <w:szCs w:val="28"/>
        </w:rPr>
        <w:t>Божхона сиёсатида иктисодий хавфсизлик масалалари</w:t>
      </w:r>
    </w:p>
    <w:p w:rsidR="00BB3AA2" w:rsidRDefault="00BB3AA2" w:rsidP="00BB3AA2">
      <w:pPr>
        <w:pStyle w:val="a3"/>
        <w:ind w:left="708" w:firstLine="708"/>
        <w:jc w:val="both"/>
        <w:rPr>
          <w:rFonts w:ascii="Times New Roman" w:hAnsi="Times New Roman" w:cs="Times New Roman"/>
          <w:sz w:val="28"/>
          <w:szCs w:val="28"/>
        </w:rPr>
      </w:pPr>
    </w:p>
    <w:p w:rsidR="00BB3AA2" w:rsidRDefault="00BB3AA2" w:rsidP="00BB3AA2">
      <w:pPr>
        <w:pStyle w:val="a3"/>
        <w:ind w:left="708"/>
        <w:jc w:val="both"/>
        <w:rPr>
          <w:rFonts w:ascii="Times New Roman" w:hAnsi="Times New Roman" w:cs="Times New Roman"/>
          <w:i/>
          <w:iCs/>
          <w:sz w:val="28"/>
          <w:szCs w:val="28"/>
        </w:rPr>
      </w:pPr>
      <w:r>
        <w:rPr>
          <w:rFonts w:ascii="Times New Roman" w:hAnsi="Times New Roman" w:cs="Times New Roman"/>
          <w:i/>
          <w:iCs/>
          <w:sz w:val="28"/>
          <w:szCs w:val="28"/>
        </w:rPr>
        <w:t>1.Узбекистон Республикаси Давлат божхона кумитасининг ягона автоматлашган ахборот тизими. (ЯААТ).</w:t>
      </w:r>
    </w:p>
    <w:p w:rsidR="00BB3AA2" w:rsidRDefault="00BB3AA2" w:rsidP="00BB3AA2">
      <w:pPr>
        <w:pStyle w:val="a3"/>
        <w:jc w:val="both"/>
        <w:rPr>
          <w:rFonts w:ascii="Times New Roman" w:hAnsi="Times New Roman" w:cs="Times New Roman"/>
          <w:i/>
          <w:iCs/>
          <w:sz w:val="28"/>
          <w:szCs w:val="28"/>
        </w:rPr>
      </w:pPr>
      <w:r>
        <w:rPr>
          <w:rFonts w:ascii="Times New Roman" w:hAnsi="Times New Roman" w:cs="Times New Roman"/>
          <w:i/>
          <w:iCs/>
          <w:sz w:val="28"/>
          <w:szCs w:val="28"/>
        </w:rPr>
        <w:tab/>
        <w:t>2.Ягона автоматлашган ахборот тизимининг (ЯААТ) принциплари.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i/>
          <w:iCs/>
          <w:sz w:val="28"/>
          <w:szCs w:val="28"/>
        </w:rPr>
        <w:tab/>
        <w:t>3.Тизимнинг вазифалари.</w:t>
      </w:r>
    </w:p>
    <w:p w:rsidR="00BB3AA2" w:rsidRDefault="00BB3AA2" w:rsidP="00BB3AA2">
      <w:pPr>
        <w:pStyle w:val="a3"/>
        <w:ind w:firstLine="708"/>
        <w:jc w:val="both"/>
        <w:rPr>
          <w:rFonts w:ascii="Times New Roman" w:hAnsi="Times New Roman" w:cs="Times New Roman"/>
          <w:sz w:val="28"/>
          <w:szCs w:val="28"/>
        </w:rPr>
      </w:pP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Илмий техника жараёнларини жадаллаштиришнинг мухим омилларидан бири, бошкарувни унинг барча бугинларида бошкариш шакли ва усулларини такомиллаштиришдан иборатдир. Хисоблаш техникасининг замонавий воситаларини фойдаланиш асосида иктисодий-математика усулларидан куллаш ва алока воситаларидан фойдаланиш бошкариш тизимини бундан буён такомиллаштириш учун янги имкониятлар яратади.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Иктисодий математик усуллар ва хисоблаш техникаси воситаларидан фойдаланишнинг мухим йуналишларидан бири бошкарувнинг автоматлашган тизимини барпо этиш булади.</w:t>
      </w:r>
    </w:p>
    <w:p w:rsidR="00BB3AA2" w:rsidRDefault="00BB3AA2" w:rsidP="00BB3AA2">
      <w:pPr>
        <w:pStyle w:val="a3"/>
        <w:jc w:val="both"/>
        <w:rPr>
          <w:rFonts w:ascii="Times New Roman" w:hAnsi="Times New Roman" w:cs="Times New Roman"/>
          <w:i/>
          <w:iCs/>
          <w:sz w:val="28"/>
          <w:szCs w:val="28"/>
        </w:rPr>
      </w:pPr>
      <w:r>
        <w:rPr>
          <w:rFonts w:ascii="Times New Roman" w:hAnsi="Times New Roman" w:cs="Times New Roman"/>
          <w:sz w:val="28"/>
          <w:szCs w:val="28"/>
        </w:rPr>
        <w:tab/>
        <w:t>Узбекистон Республикаси Давлат божхона кумитасининг ягона автоматлашган ахборот тизими, божхона фаолиятлари жараёнларини бошкаришнинг автоматлашган тизимидан иборатдир. Узбекистон Республикаси божхона хизматининг ЯААТ нинг асосий вазифаси давлатнинг ягона божхона сиёсатини ва божхона органларини бошкаришни амалга ошириш, хамда унинг самарадорлигини шакллантириш хисобланади.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 xml:space="preserve">ЯААТ божхона хизматининг асосий ахборот технологиясини амалга ошириш воситаси деб тушунилади. </w:t>
      </w:r>
      <w:r>
        <w:rPr>
          <w:rFonts w:ascii="Times New Roman" w:hAnsi="Times New Roman" w:cs="Times New Roman"/>
          <w:sz w:val="28"/>
          <w:szCs w:val="28"/>
        </w:rPr>
        <w:tab/>
        <w:t>ЯААТ нинг ривожланиши, бу соха буйича янги ахборот технологияларининг боскичма-боскич яратилиши ва жорий килиниши сохаларининг замонавий-техникавий комплексларга асосланган жараёнлардир.</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Юкорида баён этилганларга асосланиб, Узбекистон Республикаси Давлат божхона кумитасининг ЯААТ вазифалари куйидагилардан иборат:</w:t>
      </w:r>
    </w:p>
    <w:p w:rsidR="00BB3AA2" w:rsidRDefault="00BB3AA2" w:rsidP="00BB3AA2">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Узбекистон Республикаси Давлат божхона кумитаси булинмалари ва хукумат органларини божхона статистикасини юритиш учун зарур булган маълумотлар билан таъминлаш;</w:t>
      </w:r>
    </w:p>
    <w:p w:rsidR="00BB3AA2" w:rsidRDefault="00BB3AA2" w:rsidP="00BB3AA2">
      <w:pPr>
        <w:pStyle w:val="a3"/>
        <w:numPr>
          <w:ilvl w:val="0"/>
          <w:numId w:val="1"/>
        </w:numPr>
        <w:jc w:val="both"/>
        <w:rPr>
          <w:rFonts w:ascii="Times New Roman" w:hAnsi="Times New Roman" w:cs="Times New Roman"/>
          <w:i/>
          <w:iCs/>
          <w:sz w:val="28"/>
          <w:szCs w:val="28"/>
        </w:rPr>
      </w:pPr>
      <w:r>
        <w:rPr>
          <w:rFonts w:ascii="Times New Roman" w:hAnsi="Times New Roman" w:cs="Times New Roman"/>
          <w:sz w:val="28"/>
          <w:szCs w:val="28"/>
        </w:rPr>
        <w:t>божхона органларини бошкаришнинг барча бугинларидаги ташкилий-иктисодий тизимни такомиллаштириш;</w:t>
      </w:r>
    </w:p>
    <w:p w:rsidR="00BB3AA2" w:rsidRDefault="00BB3AA2" w:rsidP="00BB3AA2">
      <w:pPr>
        <w:pStyle w:val="a3"/>
        <w:numPr>
          <w:ilvl w:val="0"/>
          <w:numId w:val="1"/>
        </w:numPr>
        <w:jc w:val="both"/>
        <w:rPr>
          <w:rFonts w:ascii="Times New Roman" w:hAnsi="Times New Roman" w:cs="Times New Roman"/>
          <w:i/>
          <w:iCs/>
          <w:sz w:val="28"/>
          <w:szCs w:val="28"/>
        </w:rPr>
      </w:pPr>
      <w:r>
        <w:rPr>
          <w:rFonts w:ascii="Times New Roman" w:hAnsi="Times New Roman" w:cs="Times New Roman"/>
          <w:sz w:val="28"/>
          <w:szCs w:val="28"/>
        </w:rPr>
        <w:t>товарларнинг хужжатларини божхона расмийлаштирилувини автоматлаштириш;</w:t>
      </w:r>
    </w:p>
    <w:p w:rsidR="00BB3AA2" w:rsidRDefault="00BB3AA2" w:rsidP="00BB3AA2">
      <w:pPr>
        <w:pStyle w:val="a3"/>
        <w:numPr>
          <w:ilvl w:val="0"/>
          <w:numId w:val="1"/>
        </w:numPr>
        <w:jc w:val="both"/>
        <w:rPr>
          <w:rFonts w:ascii="Times New Roman" w:hAnsi="Times New Roman" w:cs="Times New Roman"/>
          <w:i/>
          <w:iCs/>
          <w:sz w:val="28"/>
          <w:szCs w:val="28"/>
        </w:rPr>
      </w:pPr>
      <w:r>
        <w:rPr>
          <w:rFonts w:ascii="Times New Roman" w:hAnsi="Times New Roman" w:cs="Times New Roman"/>
          <w:sz w:val="28"/>
          <w:szCs w:val="28"/>
        </w:rPr>
        <w:t>чегарадан утаётган йуловчиларнинг юкларини божхона назоратидан утказишнинг самарадорлигини ошириш;</w:t>
      </w:r>
    </w:p>
    <w:p w:rsidR="00BB3AA2" w:rsidRDefault="00BB3AA2" w:rsidP="00BB3AA2">
      <w:pPr>
        <w:pStyle w:val="a3"/>
        <w:numPr>
          <w:ilvl w:val="0"/>
          <w:numId w:val="1"/>
        </w:numPr>
        <w:jc w:val="both"/>
        <w:rPr>
          <w:rFonts w:ascii="Times New Roman" w:hAnsi="Times New Roman" w:cs="Times New Roman"/>
          <w:i/>
          <w:iCs/>
          <w:sz w:val="28"/>
          <w:szCs w:val="28"/>
        </w:rPr>
      </w:pPr>
      <w:r>
        <w:rPr>
          <w:rFonts w:ascii="Times New Roman" w:hAnsi="Times New Roman" w:cs="Times New Roman"/>
          <w:sz w:val="28"/>
          <w:szCs w:val="28"/>
        </w:rPr>
        <w:t>божхона туловларини хисоблашни назорат килиш ва марказлашган холда, уларни ундириб олишни таъминлаш;</w:t>
      </w:r>
    </w:p>
    <w:p w:rsidR="00BB3AA2" w:rsidRDefault="00BB3AA2" w:rsidP="00BB3AA2">
      <w:pPr>
        <w:pStyle w:val="a3"/>
        <w:numPr>
          <w:ilvl w:val="0"/>
          <w:numId w:val="1"/>
        </w:numPr>
        <w:jc w:val="both"/>
        <w:rPr>
          <w:rFonts w:ascii="Times New Roman" w:hAnsi="Times New Roman" w:cs="Times New Roman"/>
          <w:i/>
          <w:iCs/>
          <w:sz w:val="28"/>
          <w:szCs w:val="28"/>
        </w:rPr>
      </w:pPr>
      <w:r>
        <w:rPr>
          <w:rFonts w:ascii="Times New Roman" w:hAnsi="Times New Roman" w:cs="Times New Roman"/>
          <w:sz w:val="28"/>
          <w:szCs w:val="28"/>
        </w:rPr>
        <w:t>контрабанда ва божхона коидаларини бузишга карши кураш ишларини маълумотлар билан куллаб кувватлаш;</w:t>
      </w:r>
    </w:p>
    <w:p w:rsidR="00BB3AA2" w:rsidRDefault="00BB3AA2" w:rsidP="00BB3AA2">
      <w:pPr>
        <w:pStyle w:val="a3"/>
        <w:numPr>
          <w:ilvl w:val="0"/>
          <w:numId w:val="1"/>
        </w:numPr>
        <w:jc w:val="both"/>
        <w:rPr>
          <w:rFonts w:ascii="Times New Roman" w:hAnsi="Times New Roman" w:cs="Times New Roman"/>
          <w:i/>
          <w:iCs/>
          <w:sz w:val="28"/>
          <w:szCs w:val="28"/>
        </w:rPr>
      </w:pPr>
      <w:r>
        <w:rPr>
          <w:rFonts w:ascii="Times New Roman" w:hAnsi="Times New Roman" w:cs="Times New Roman"/>
          <w:sz w:val="28"/>
          <w:szCs w:val="28"/>
        </w:rPr>
        <w:t>нотариф равишда тартибга солиш, рухсатномалар ва чеклашларни назорат килиш усуллари ва воситаларини такомиллаштириш;</w:t>
      </w:r>
    </w:p>
    <w:p w:rsidR="00BB3AA2" w:rsidRDefault="00BB3AA2" w:rsidP="00BB3AA2">
      <w:pPr>
        <w:pStyle w:val="a3"/>
        <w:numPr>
          <w:ilvl w:val="0"/>
          <w:numId w:val="1"/>
        </w:numPr>
        <w:jc w:val="both"/>
        <w:rPr>
          <w:rFonts w:ascii="Times New Roman" w:hAnsi="Times New Roman" w:cs="Times New Roman"/>
          <w:i/>
          <w:iCs/>
          <w:sz w:val="28"/>
          <w:szCs w:val="28"/>
        </w:rPr>
      </w:pPr>
      <w:r>
        <w:rPr>
          <w:rFonts w:ascii="Times New Roman" w:hAnsi="Times New Roman" w:cs="Times New Roman"/>
          <w:sz w:val="28"/>
          <w:szCs w:val="28"/>
        </w:rPr>
        <w:lastRenderedPageBreak/>
        <w:t>ташки иктисодий фаолиятнинг божхона банк назоратида валюта назоратини амалга ошириш максадида ва бошкаларда ахборот технологиясини яратиш.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Узбекистон Республикаси божхона хизматининг ЯААТ асосан республиканинг мустакилликка эришганидан сунг ривожланиб божхона ахборот технологиясининг барча боскичларида божхона постидан Узбекистон Давлат божхона кумитасининг марказий аппаратигача булган ривожланишнинг ажойиб воситасига айланди.</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Ягона автоматлашган ахборот тизимининг кейинги ривожланиш ва такомиллашиш асосларидан бири, Узбекистон Республикаси божхона сиёсатини кетма-кет ва боскичма-боскич ахамиятини оширишнинг комплекс дастури хисобланиб, Республика Президенти, Вазирлар Махкамаси томонидан 1991-1995 йилларда кабул килинган катор фармонлар, карорлар ва конунлар мухим ахамиятга эга булди.</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ЯААТ ухшаш тизимлар барча ривожланган мамлакатларнинг барча божхона хизматларида мавжуддир.</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Масалан, АКШ, Англия, Франция, Германия каби мамлакатларда бундай тизимлар божхона коидаларига мослаштириш асосида 20 йилдан ортик вакт ичида яратилиб фойдаланилмокда.</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ЯААТнинг боскичма-боскич дастурини амалга ошириш буйича ишларни ташкил килиш учун УзР ДБК кошида Бош илмий-ахборот хисоблаш маркази (БИАХМ) ташкил килиниб, ЯААТни яратишни жорий килиш ва фойдаланишни ташкил килиш юзасидан илмий-ишлаб чикариш ташкилоти хисобланади.</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Узбекистон Республикаси божхона органларининг мураккаб, куп боскичли тизимлар таркибини хисобга олиниб, уларнинг куп киррали хизматлари ва вазифаларини хисобга олиб, божхона хизматининг ЯААТ яратишда УзРДБК ва унинг асосий таркибий булинмалари (бошкаришнинг </w:t>
      </w:r>
      <w:r>
        <w:rPr>
          <w:rFonts w:ascii="Times New Roman" w:hAnsi="Times New Roman" w:cs="Times New Roman"/>
          <w:sz w:val="28"/>
          <w:szCs w:val="28"/>
          <w:lang w:val="en-US"/>
        </w:rPr>
        <w:t>I</w:t>
      </w:r>
      <w:r>
        <w:rPr>
          <w:rFonts w:ascii="Times New Roman" w:hAnsi="Times New Roman" w:cs="Times New Roman"/>
          <w:sz w:val="28"/>
          <w:szCs w:val="28"/>
        </w:rPr>
        <w:t xml:space="preserve"> боскичи), ихтисослаштирилган ва худудий божхона бошкармалари (бошкаришнинг </w:t>
      </w:r>
      <w:r>
        <w:rPr>
          <w:rFonts w:ascii="Times New Roman" w:hAnsi="Times New Roman" w:cs="Times New Roman"/>
          <w:sz w:val="28"/>
          <w:szCs w:val="28"/>
          <w:lang w:val="en-US"/>
        </w:rPr>
        <w:t>II</w:t>
      </w:r>
      <w:r>
        <w:rPr>
          <w:rFonts w:ascii="Times New Roman" w:hAnsi="Times New Roman" w:cs="Times New Roman"/>
          <w:sz w:val="28"/>
          <w:szCs w:val="28"/>
        </w:rPr>
        <w:t xml:space="preserve"> боскичи), божхона (бошкарувнинг </w:t>
      </w:r>
      <w:r>
        <w:rPr>
          <w:rFonts w:ascii="Times New Roman" w:hAnsi="Times New Roman" w:cs="Times New Roman"/>
          <w:sz w:val="28"/>
          <w:szCs w:val="28"/>
          <w:lang w:val="en-US"/>
        </w:rPr>
        <w:t>III</w:t>
      </w:r>
      <w:r>
        <w:rPr>
          <w:rFonts w:ascii="Times New Roman" w:hAnsi="Times New Roman" w:cs="Times New Roman"/>
          <w:sz w:val="28"/>
          <w:szCs w:val="28"/>
        </w:rPr>
        <w:t xml:space="preserve"> боскичи), чегара олди ва ички божхона постлари (бошкарувнинг </w:t>
      </w:r>
      <w:r>
        <w:rPr>
          <w:rFonts w:ascii="Times New Roman" w:hAnsi="Times New Roman" w:cs="Times New Roman"/>
          <w:sz w:val="28"/>
          <w:szCs w:val="28"/>
          <w:lang w:val="en-US"/>
        </w:rPr>
        <w:t>IV</w:t>
      </w:r>
      <w:r>
        <w:rPr>
          <w:rFonts w:ascii="Times New Roman" w:hAnsi="Times New Roman" w:cs="Times New Roman"/>
          <w:sz w:val="28"/>
          <w:szCs w:val="28"/>
        </w:rPr>
        <w:t xml:space="preserve"> боскичи) ташкил топди.</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Буларнинг хаммаси ЯААТ нинг божхона органлари тизими ва уларга хизмат курсатиш булинмаларининг мураккаб таркибини белгилади.</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Таркиб топган ЯААТ хусусиятларидан бири шуки, улар турли хилдаги хужжатлар айланиши объектларини ахборот билан таъминлашга мулжалланган.</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Узбекистон Республикаси божхона органларида хужжатлар айланиши ва бошлангич ахборотларнинг асосий хажмини божхона юк баёнотлари (БЮБ) ташкил килади. Божхона юк баёнотларининг мамлакат божхоналарига тушиши турлича булиб, хар ойда 7-8, айрим даврларда 20-30 мингтани ташкил этади.</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Хар ойдаги божхона юк баёнотларининг уртача ойлик курсаткичларга нисбатан ортиб бориши хам турли божхоналарда турлича булиб, улар уртача 60-350 фоизни ташкил этади.</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lastRenderedPageBreak/>
        <w:t>1.2.ЯГОНА АВТОМАТЛАШГАН АХБОРОТ ТИЗИМНИ (ЯААТ) ТУЗИШНИНГ МАКСАДЛАРИ.</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ЯААТ тузишнинг асосий максади амалдагиларни такомиллаштириш, шунингдек янги автоматлашган божхона ахборот технологияларни яратиш ва ривожлантириш, замонавий дастур техника воситаларига асосланган тузилишни яратишдир.</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ab/>
        <w:t>Узбекистон Республикаси ДБК нинг ЯААТ биринчи навбатда божхона технологиясининг асосий ахборотларини амалга оширади, бунда божхона органларининг барча даражадаги вазифаларини таъминлайди.</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ab/>
        <w:t>Автоматлаштириш юкоридан пастга караб жорий килинади.</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Натижада Узбекистон Республикаси божхона органларида бакувват техника имкониятлари вужудга келиб, улар комплекс автоматлаштириш вазифаларини ечишга киришиш, алохида иш жойларини автоматлаштиришдан мувофиклаштириш тизимларига ва божхона ахборот технологияларини автоматлаштиришга киришиш имкониятларини яратади.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 xml:space="preserve">Янги дастурий-техникавий харакат дастури дейилганда, хисоблаш техникасининг замонавий кучли воситалари ва телекоммуникациялари билан биргаликда, тараккиёт умумтизимли дастурий воситалар тушунилади: яъни </w:t>
      </w:r>
      <w:r>
        <w:rPr>
          <w:rFonts w:ascii="Times New Roman" w:hAnsi="Times New Roman" w:cs="Times New Roman"/>
          <w:sz w:val="28"/>
          <w:szCs w:val="28"/>
          <w:lang w:val="en-US"/>
        </w:rPr>
        <w:t>Windows</w:t>
      </w:r>
      <w:r>
        <w:rPr>
          <w:rFonts w:ascii="Times New Roman" w:hAnsi="Times New Roman" w:cs="Times New Roman"/>
          <w:sz w:val="28"/>
          <w:szCs w:val="28"/>
        </w:rPr>
        <w:t xml:space="preserve">, </w:t>
      </w:r>
      <w:r>
        <w:rPr>
          <w:rFonts w:ascii="Times New Roman" w:hAnsi="Times New Roman" w:cs="Times New Roman"/>
          <w:sz w:val="28"/>
          <w:szCs w:val="28"/>
          <w:lang w:val="en-US"/>
        </w:rPr>
        <w:t>Umix</w:t>
      </w:r>
      <w:r>
        <w:rPr>
          <w:rFonts w:ascii="Times New Roman" w:hAnsi="Times New Roman" w:cs="Times New Roman"/>
          <w:sz w:val="28"/>
          <w:szCs w:val="28"/>
        </w:rPr>
        <w:t xml:space="preserve"> жараёнлар тизими, </w:t>
      </w:r>
      <w:r>
        <w:rPr>
          <w:rFonts w:ascii="Times New Roman" w:hAnsi="Times New Roman" w:cs="Times New Roman"/>
          <w:sz w:val="28"/>
          <w:szCs w:val="28"/>
          <w:lang w:val="en-US"/>
        </w:rPr>
        <w:t>Windows</w:t>
      </w:r>
      <w:r>
        <w:rPr>
          <w:rFonts w:ascii="Times New Roman" w:hAnsi="Times New Roman" w:cs="Times New Roman"/>
          <w:sz w:val="28"/>
          <w:szCs w:val="28"/>
        </w:rPr>
        <w:t xml:space="preserve">, </w:t>
      </w:r>
      <w:r>
        <w:rPr>
          <w:rFonts w:ascii="Times New Roman" w:hAnsi="Times New Roman" w:cs="Times New Roman"/>
          <w:sz w:val="28"/>
          <w:szCs w:val="28"/>
          <w:lang w:val="en-US"/>
        </w:rPr>
        <w:t>Nouell</w:t>
      </w:r>
      <w:r>
        <w:rPr>
          <w:rFonts w:ascii="Times New Roman" w:hAnsi="Times New Roman" w:cs="Times New Roman"/>
          <w:sz w:val="28"/>
          <w:szCs w:val="28"/>
        </w:rPr>
        <w:t xml:space="preserve"> тармок жарёнлар тизимлари, </w:t>
      </w:r>
      <w:r>
        <w:rPr>
          <w:rFonts w:ascii="Times New Roman" w:hAnsi="Times New Roman" w:cs="Times New Roman"/>
          <w:sz w:val="28"/>
          <w:szCs w:val="28"/>
          <w:lang w:val="en-US"/>
        </w:rPr>
        <w:t>ORASLE</w:t>
      </w:r>
      <w:r>
        <w:rPr>
          <w:rFonts w:ascii="Times New Roman" w:hAnsi="Times New Roman" w:cs="Times New Roman"/>
          <w:sz w:val="28"/>
          <w:szCs w:val="28"/>
        </w:rPr>
        <w:t xml:space="preserve"> асосларидаги маълумотларнинг бошкариш тизими ва </w:t>
      </w:r>
      <w:r>
        <w:rPr>
          <w:rFonts w:ascii="Times New Roman" w:hAnsi="Times New Roman" w:cs="Times New Roman"/>
          <w:sz w:val="28"/>
          <w:szCs w:val="28"/>
          <w:lang w:val="en-US"/>
        </w:rPr>
        <w:t>ORASLE</w:t>
      </w:r>
      <w:r>
        <w:rPr>
          <w:rFonts w:ascii="Times New Roman" w:hAnsi="Times New Roman" w:cs="Times New Roman"/>
          <w:sz w:val="28"/>
          <w:szCs w:val="28"/>
        </w:rPr>
        <w:t xml:space="preserve"> </w:t>
      </w:r>
      <w:r>
        <w:rPr>
          <w:rFonts w:ascii="Times New Roman" w:hAnsi="Times New Roman" w:cs="Times New Roman"/>
          <w:sz w:val="28"/>
          <w:szCs w:val="28"/>
          <w:lang w:val="en-US"/>
        </w:rPr>
        <w:t>CASE</w:t>
      </w:r>
      <w:r>
        <w:rPr>
          <w:rFonts w:ascii="Times New Roman" w:hAnsi="Times New Roman" w:cs="Times New Roman"/>
          <w:sz w:val="28"/>
          <w:szCs w:val="28"/>
        </w:rPr>
        <w:t xml:space="preserve"> тупламига кирувчи тизимни лойихалаш.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Янги дастурий-техникавий харакат дастурини куллаш: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*автоматлаштирилган вазифаларни кенгайтириш имкониятларини яратади;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*тизимнинг фаоллик курсатиш юзасидан ишончини оширади;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*ахборотларни рухсат этилмаган шахслар томонидан фойдаланишдан химоя илишда самарали кисмларини жорий килиш имкониятларини яратади.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 xml:space="preserve">Шу боисдан ЯААТ тизимининг иккинчи навбатини яратилаётгандаги асосий вазифаларидан бири булиб, мавжуд тизимларнинг ворислиги, биргаликда ишлатилаётган ва янгидан яратиладиган, ёки такомиллаштириладиган (иккинчи навбат доирасида) амалий ва умумтизим дастурий воситаларини таъминлашдан иборат булиб хисобланади. </w:t>
      </w:r>
    </w:p>
    <w:p w:rsidR="00BB3AA2" w:rsidRDefault="00BB3AA2" w:rsidP="00BB3AA2">
      <w:pPr>
        <w:pStyle w:val="a3"/>
        <w:ind w:left="708"/>
        <w:jc w:val="both"/>
        <w:rPr>
          <w:rFonts w:ascii="Times New Roman" w:hAnsi="Times New Roman" w:cs="Times New Roman"/>
          <w:sz w:val="28"/>
          <w:szCs w:val="28"/>
        </w:rPr>
      </w:pPr>
      <w:r>
        <w:rPr>
          <w:rFonts w:ascii="Times New Roman" w:hAnsi="Times New Roman" w:cs="Times New Roman"/>
          <w:sz w:val="28"/>
          <w:szCs w:val="28"/>
        </w:rPr>
        <w:tab/>
        <w:t>ЯГОНА АВТОМАТЛАШГАН АХБОРОТ ТИЗИМИГА (ЯААТ) БУЛГАН ТАЛАБЛАР.</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ab/>
        <w:t>Узбекистон Республикаси ДБК нинг Ягона автоматлашган ахборот тизимини (ЯААТ) яратиш ва жорий килиш ривожланаётган иккита тизим жараёнларининг узаро бир-бирига киришиши ва уни бойитиши хисобланади: УзР божхона органларининг бошкариш тизими таркиблари ва бошкарувнинг янги ахборот технологияларини амалга оширишни таъминловчи информацион-технологик туркумлардан иборат.</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ab/>
        <w:t xml:space="preserve">Шу муносабат билан ЯААТ нинг ривожланиши божхона органларининг бошкариш тизимларини такомиллаштириш максадлари ва вазифаларига буйсундирилган булиши лозим булиб, УзР божхона назоратининг самарали давлат тизимидаги умумий вазифаларнинг шаклланиши ва ривожланишидаги асосий вазифалардан келиб чикади. </w:t>
      </w:r>
    </w:p>
    <w:p w:rsidR="00BB3AA2" w:rsidRDefault="00BB3AA2" w:rsidP="00BB3AA2">
      <w:pPr>
        <w:pStyle w:val="a3"/>
        <w:ind w:firstLine="708"/>
        <w:jc w:val="both"/>
        <w:rPr>
          <w:rFonts w:ascii="Times New Roman" w:hAnsi="Times New Roman" w:cs="Times New Roman"/>
          <w:b/>
          <w:bCs/>
          <w:sz w:val="28"/>
          <w:szCs w:val="28"/>
        </w:rPr>
      </w:pPr>
      <w:r>
        <w:rPr>
          <w:rFonts w:ascii="Times New Roman" w:hAnsi="Times New Roman" w:cs="Times New Roman"/>
          <w:b/>
          <w:bCs/>
          <w:sz w:val="28"/>
          <w:szCs w:val="28"/>
        </w:rPr>
        <w:lastRenderedPageBreak/>
        <w:t>ЯААТ</w:t>
      </w:r>
      <w:r>
        <w:rPr>
          <w:rFonts w:ascii="Times New Roman" w:hAnsi="Times New Roman" w:cs="Times New Roman"/>
          <w:b/>
          <w:bCs/>
          <w:sz w:val="28"/>
          <w:szCs w:val="28"/>
          <w:u w:val="single"/>
        </w:rPr>
        <w:t xml:space="preserve"> тизимини жойлаштириш, фойдаланиш ва техника хизмати курсатишдаги хавфсизлик талаблари.</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ab/>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Тизимни яратиш ва ундан фойдаланишдаги хавсизлик талабларининг ахамиятини бахолаш анча мухимдир.</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ab/>
        <w:t>УзР ДБК нинг ЯААТ тизимининг техника воситалари шундай урнатилганки, бунда уларнинг хавфсиз равишда фойдаланиш ва техника хизмат курсатиш таъминланган.</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ab/>
        <w:t>Техника воситаларидан фойдаланиш биноларидаги ёнгинга карши чоралар давлат стандартлари талаблари асосида таъминланган.</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ab/>
        <w:t>Ёнгинга карши чораларга айникса, ЯААТ техник воситалари комплексига техник хизмат курсатиш айтларида алохида ахамият берилади.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Бинолар ичидаги иклим, овоз даражаси ва шовкинлар ЯААТ жойлашган жойларда давлат санитария нормалари томонидан белгиланган курсаткичлардан ошиб кетмайди.</w:t>
      </w:r>
    </w:p>
    <w:p w:rsidR="00BB3AA2" w:rsidRDefault="00BB3AA2" w:rsidP="00BB3AA2">
      <w:pPr>
        <w:pStyle w:val="a3"/>
        <w:jc w:val="both"/>
        <w:rPr>
          <w:rFonts w:ascii="Times New Roman" w:hAnsi="Times New Roman" w:cs="Times New Roman"/>
          <w:sz w:val="28"/>
          <w:szCs w:val="28"/>
          <w:u w:val="single"/>
        </w:rPr>
      </w:pPr>
      <w:r>
        <w:rPr>
          <w:rFonts w:ascii="Times New Roman" w:hAnsi="Times New Roman" w:cs="Times New Roman"/>
          <w:sz w:val="28"/>
          <w:szCs w:val="28"/>
        </w:rPr>
        <w:tab/>
      </w:r>
      <w:r>
        <w:rPr>
          <w:rFonts w:ascii="Times New Roman" w:hAnsi="Times New Roman" w:cs="Times New Roman"/>
          <w:sz w:val="28"/>
          <w:szCs w:val="28"/>
          <w:u w:val="single"/>
        </w:rPr>
        <w:t>Эргономика ва техника эстетикасига булган талаблар.</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 xml:space="preserve"> Тизимни жойлаштириш ва ундан фойдаланишда эргономика ва техник эстетика талабларининг бажарилишига алохида эьтибор берилиши керак.</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ЯААТ техник воситалари техник талабларга биноан жойлаштирилади, техник коидалари, шу жумладан иш даврида фойдаланиш коидалари уларни ишлатишда хамда унинг фаоллигида кулай булишликлари ва техник хизмат курсатишни осонрок бажаришни назарда тутади.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ЯААТ нинг умумтизим дастурли воситалари хужжатларни рус, ёки инглиз тилларида нашр этадилар.</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ЯААТ тизимининг амалий дастур воситалари эргономика талабларини хисобга олган холда ишлаб чикилади, хамда халкаро бошкарув тизимлари билан уйгунлашиши коидалирига амал килинади.</w:t>
      </w:r>
    </w:p>
    <w:p w:rsidR="00BB3AA2" w:rsidRDefault="00BB3AA2" w:rsidP="00BB3AA2">
      <w:pPr>
        <w:pStyle w:val="a3"/>
        <w:ind w:firstLine="708"/>
        <w:jc w:val="both"/>
        <w:rPr>
          <w:rFonts w:ascii="Times New Roman" w:hAnsi="Times New Roman" w:cs="Times New Roman"/>
          <w:sz w:val="28"/>
          <w:szCs w:val="28"/>
          <w:u w:val="single"/>
        </w:rPr>
      </w:pPr>
      <w:r>
        <w:rPr>
          <w:rFonts w:ascii="Times New Roman" w:hAnsi="Times New Roman" w:cs="Times New Roman"/>
          <w:b/>
          <w:bCs/>
          <w:sz w:val="28"/>
          <w:szCs w:val="28"/>
          <w:u w:val="single"/>
        </w:rPr>
        <w:t>Ташки таъсирлардан саклаш чораларига булган талаблар.</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Тизимнинг узлуксиз ишлаши учун уни ташки таъсирлардан саклаш талаб этилади.</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ЯААТ комплекс техник воситаларини электр ва магнит майдонларидан химоя килиш, шунингдек таъминот бугинларидаги каршиликлардан асраш комплекс техник воситаларнинг фаолият курсатишларидаги уз вазифаларини бажаришига кумаклашади.</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b/>
          <w:bCs/>
          <w:sz w:val="28"/>
          <w:szCs w:val="28"/>
          <w:u w:val="single"/>
        </w:rPr>
        <w:t>Фойдаланиш, техник хизмат курсатиш, таъмирлаш ва саклаш учун булган талаблар.</w:t>
      </w:r>
    </w:p>
    <w:p w:rsidR="00BB3AA2" w:rsidRDefault="00BB3AA2" w:rsidP="00BB3AA2">
      <w:pPr>
        <w:pStyle w:val="a3"/>
        <w:ind w:left="708" w:firstLine="708"/>
        <w:jc w:val="both"/>
        <w:rPr>
          <w:rFonts w:ascii="Times New Roman" w:hAnsi="Times New Roman" w:cs="Times New Roman"/>
          <w:sz w:val="28"/>
          <w:szCs w:val="28"/>
        </w:rPr>
      </w:pPr>
      <w:r>
        <w:rPr>
          <w:rFonts w:ascii="Times New Roman" w:hAnsi="Times New Roman" w:cs="Times New Roman"/>
          <w:sz w:val="28"/>
          <w:szCs w:val="28"/>
        </w:rPr>
        <w:t xml:space="preserve">  </w:t>
      </w:r>
    </w:p>
    <w:p w:rsidR="00BB3AA2" w:rsidRDefault="00BB3AA2" w:rsidP="00BB3AA2">
      <w:pPr>
        <w:pStyle w:val="a3"/>
        <w:ind w:firstLine="1416"/>
        <w:jc w:val="both"/>
        <w:rPr>
          <w:rFonts w:ascii="Times New Roman" w:hAnsi="Times New Roman" w:cs="Times New Roman"/>
          <w:sz w:val="28"/>
          <w:szCs w:val="28"/>
        </w:rPr>
      </w:pPr>
      <w:r>
        <w:rPr>
          <w:rFonts w:ascii="Times New Roman" w:hAnsi="Times New Roman" w:cs="Times New Roman"/>
          <w:sz w:val="28"/>
          <w:szCs w:val="28"/>
        </w:rPr>
        <w:t>Тизим шундагина узининг вазифаларини бажара оладики, агар улар тугри ишлатилса, хизмат курсатилса ва таъмирланса.</w:t>
      </w:r>
    </w:p>
    <w:p w:rsidR="00BB3AA2" w:rsidRDefault="00BB3AA2" w:rsidP="00BB3AA2">
      <w:pPr>
        <w:pStyle w:val="a3"/>
        <w:ind w:firstLine="1416"/>
        <w:jc w:val="both"/>
        <w:rPr>
          <w:rFonts w:ascii="Times New Roman" w:hAnsi="Times New Roman" w:cs="Times New Roman"/>
          <w:sz w:val="28"/>
          <w:szCs w:val="28"/>
        </w:rPr>
      </w:pPr>
      <w:r>
        <w:rPr>
          <w:rFonts w:ascii="Times New Roman" w:hAnsi="Times New Roman" w:cs="Times New Roman"/>
          <w:sz w:val="28"/>
          <w:szCs w:val="28"/>
        </w:rPr>
        <w:t>Хизматларнинг турлари ва уларнинг даврлари (хафталик, ойлик, чораклик) ЯААТ техник воситаларининг улардан фойдаланиш юзасидан хужжатларида берилгандир.</w:t>
      </w:r>
    </w:p>
    <w:p w:rsidR="00BB3AA2" w:rsidRDefault="00BB3AA2" w:rsidP="00BB3AA2">
      <w:pPr>
        <w:pStyle w:val="a3"/>
        <w:ind w:firstLine="1416"/>
        <w:jc w:val="both"/>
        <w:rPr>
          <w:rFonts w:ascii="Times New Roman" w:hAnsi="Times New Roman" w:cs="Times New Roman"/>
          <w:sz w:val="28"/>
          <w:szCs w:val="28"/>
        </w:rPr>
      </w:pPr>
      <w:r>
        <w:rPr>
          <w:rFonts w:ascii="Times New Roman" w:hAnsi="Times New Roman" w:cs="Times New Roman"/>
          <w:sz w:val="28"/>
          <w:szCs w:val="28"/>
        </w:rPr>
        <w:t xml:space="preserve">Техник кафолат даврида тизимдаги техника воситаларининг хизмати юзасидан ЯААТ тизимининг хисоблаш техникаларининг </w:t>
      </w:r>
      <w:r>
        <w:rPr>
          <w:rFonts w:ascii="Times New Roman" w:hAnsi="Times New Roman" w:cs="Times New Roman"/>
          <w:sz w:val="28"/>
          <w:szCs w:val="28"/>
        </w:rPr>
        <w:lastRenderedPageBreak/>
        <w:t>таъмирлашини, тизим кафолатланган хизмати курсатиш Низомларига асосан олиб борилади.</w:t>
      </w:r>
    </w:p>
    <w:p w:rsidR="00BB3AA2" w:rsidRDefault="00BB3AA2" w:rsidP="00BB3AA2">
      <w:pPr>
        <w:pStyle w:val="a3"/>
        <w:ind w:firstLine="1416"/>
        <w:jc w:val="both"/>
        <w:rPr>
          <w:rFonts w:ascii="Times New Roman" w:hAnsi="Times New Roman" w:cs="Times New Roman"/>
          <w:sz w:val="28"/>
          <w:szCs w:val="28"/>
        </w:rPr>
      </w:pPr>
      <w:r>
        <w:rPr>
          <w:rFonts w:ascii="Times New Roman" w:hAnsi="Times New Roman" w:cs="Times New Roman"/>
          <w:sz w:val="28"/>
          <w:szCs w:val="28"/>
        </w:rPr>
        <w:t>Кафолат муддатлари утгач ЯААТ тизими хисоблаш техникаларини умум тизим техника хизмат курсатиш шартномаларига биноан, яъни УзР ДБК худудий бошкармалари билан Давлат илмий-ахборот хисоблаш маркази уртасидаги ва унинг жойлардаги булинмалари билан тузилган шартномаларига асосан амалга оширилади. Таъмирлашнинг муддати ва шартли шартномаларда келишилган булади. Хизмат курсатадиган ишчилар сони ЯААТ таркибидаги техник воситалардан фойдаланиш учун зарур булган хизматчиларнинг энг кам булган микдоридан кам булмаслиги зарурдир. Тизим техника воситаларининг ЭХМ техник хизматларини бажариш учун техник воситаларга хизмат курсатиш учун гувохномалари булган кишиларга рухсат берилади.</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ЯААТ тизими таркибий кисмларининг захира тупламлари барча техник воситаларга зарур булган таъмирлаш комплексларидан иборат булади.</w:t>
      </w: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sz w:val="28"/>
          <w:szCs w:val="28"/>
        </w:rPr>
        <w:t>Эхтиёт кисмлар захираларини жойлаштириш ва саклашни ёпик биноларда, иситиладиган биноларда техник воситаларнинг урнатилиши назарда тутилган бевосита якин жойларда булиши назарда тутилади.</w:t>
      </w:r>
    </w:p>
    <w:p w:rsidR="00BB3AA2" w:rsidRDefault="00BB3AA2" w:rsidP="00BB3AA2">
      <w:pPr>
        <w:pStyle w:val="a3"/>
        <w:ind w:firstLine="708"/>
        <w:jc w:val="both"/>
        <w:rPr>
          <w:rFonts w:ascii="Times New Roman" w:hAnsi="Times New Roman" w:cs="Times New Roman"/>
          <w:b/>
          <w:bCs/>
          <w:sz w:val="28"/>
          <w:szCs w:val="28"/>
          <w:u w:val="single"/>
        </w:rPr>
      </w:pPr>
    </w:p>
    <w:p w:rsidR="00BB3AA2" w:rsidRDefault="00BB3AA2" w:rsidP="00BB3AA2">
      <w:pPr>
        <w:pStyle w:val="a3"/>
        <w:ind w:firstLine="708"/>
        <w:jc w:val="both"/>
        <w:rPr>
          <w:rFonts w:ascii="Times New Roman" w:hAnsi="Times New Roman" w:cs="Times New Roman"/>
          <w:sz w:val="28"/>
          <w:szCs w:val="28"/>
        </w:rPr>
      </w:pPr>
      <w:r>
        <w:rPr>
          <w:rFonts w:ascii="Times New Roman" w:hAnsi="Times New Roman" w:cs="Times New Roman"/>
          <w:b/>
          <w:bCs/>
          <w:sz w:val="28"/>
          <w:szCs w:val="28"/>
          <w:u w:val="single"/>
        </w:rPr>
        <w:t>Маълумотларни рухсат этилмаган фойдаланишлардан химоя килишга булган талаблар.</w:t>
      </w:r>
    </w:p>
    <w:p w:rsidR="00BB3AA2" w:rsidRDefault="00BB3AA2" w:rsidP="00BB3AA2">
      <w:pPr>
        <w:pStyle w:val="a3"/>
        <w:ind w:firstLine="708"/>
        <w:jc w:val="both"/>
        <w:rPr>
          <w:rFonts w:ascii="Times New Roman" w:hAnsi="Times New Roman" w:cs="Times New Roman"/>
          <w:sz w:val="28"/>
          <w:szCs w:val="28"/>
        </w:rPr>
      </w:pP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Тизимда ахборот хавфсизлиги таъминланган булиши керак. Ахборотларни рухсат берилмаган фойдаланишлардан пухта химоя килишлик барча давлат ташкилотларида фойдаланиб келинаётган принцип ва химоя усулларини назарда тутади.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Уларга куйидагилар киради: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Химоянинг дастурли-техник усуллари: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*каталогларнинг аникловчи аломатларидан фойдаланиб, уларни бошкариш, хамда маълумотларга кира олишни хар томонлама чеклаш;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*паролларни ишлатиш йули билан фойдаланувчиларни руйхатдан утказиш, хамда мажбурий равишда вакти вакти билан паролларни алмаштириб туриш йули билан чоралар куриш;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*химоя килинадиган маълумотларга мурожаат килувчиларни руйхат килиш;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*химоя килинадиган маълумотлардан фойдаланишни назорат килиш;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*рухсат берилмасдан киришга харакат килган шахсларнинг руйхатини олиш;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*махсус маълумотларни бериш ва ишлашда махфий белгилар ва ишоралар билан ёзилган ёзувлардан фойдаланиш;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*маълумотлардан фойдаланишни чеклаш (кисмлари буйича рухсат берилган жараёнлар буйича, жараёнларни бажариш шартлари буйича ва х.к).</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Химоя килишнинг ташкилий усуллари: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*хозирги даврда худудлар буйича таркок холда ишлаб турган ахборот-хисоблаш комплексларининг марказий резервини яратиш;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lastRenderedPageBreak/>
        <w:tab/>
        <w:t>*тизим маълумотлари сакланадиган биноларга бошка шахсларнинг киришларига рухсат этмаслик;</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*маълумотларнинг узгаришига булган эхтиёжларни ажратиш ва аниклаш, юкори даражада масъул холатларда-уларни тасдиклаш.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Дастурли аппаратли ва ташкилий-техник химоя чоралари узаро бир-бирларини тулдириб, ахборот тизимининг хавфсизлигини ташкил этади.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r>
    </w:p>
    <w:p w:rsidR="00BB3AA2" w:rsidRDefault="00BB3AA2" w:rsidP="00BB3AA2">
      <w:pPr>
        <w:pStyle w:val="a3"/>
        <w:jc w:val="both"/>
        <w:rPr>
          <w:rFonts w:ascii="Times New Roman" w:hAnsi="Times New Roman" w:cs="Times New Roman"/>
          <w:b/>
          <w:bCs/>
          <w:sz w:val="28"/>
          <w:szCs w:val="28"/>
          <w:u w:val="single"/>
        </w:rPr>
      </w:pPr>
      <w:r>
        <w:rPr>
          <w:rFonts w:ascii="Times New Roman" w:hAnsi="Times New Roman" w:cs="Times New Roman"/>
          <w:sz w:val="28"/>
          <w:szCs w:val="28"/>
        </w:rPr>
        <w:tab/>
      </w:r>
      <w:r>
        <w:rPr>
          <w:rFonts w:ascii="Times New Roman" w:hAnsi="Times New Roman" w:cs="Times New Roman"/>
          <w:b/>
          <w:bCs/>
          <w:sz w:val="28"/>
          <w:szCs w:val="28"/>
          <w:u w:val="single"/>
        </w:rPr>
        <w:t>Ахборотларнинг сакланишига булган талаблар.</w:t>
      </w:r>
    </w:p>
    <w:p w:rsidR="00BB3AA2" w:rsidRDefault="00BB3AA2" w:rsidP="00BB3AA2">
      <w:pPr>
        <w:pStyle w:val="a3"/>
        <w:jc w:val="both"/>
        <w:rPr>
          <w:rFonts w:ascii="Times New Roman" w:hAnsi="Times New Roman" w:cs="Times New Roman"/>
          <w:b/>
          <w:bCs/>
          <w:sz w:val="28"/>
          <w:szCs w:val="28"/>
          <w:u w:val="single"/>
        </w:rPr>
      </w:pP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b/>
          <w:bCs/>
          <w:sz w:val="28"/>
          <w:szCs w:val="28"/>
        </w:rPr>
        <w:tab/>
      </w:r>
      <w:r>
        <w:rPr>
          <w:rFonts w:ascii="Times New Roman" w:hAnsi="Times New Roman" w:cs="Times New Roman"/>
          <w:sz w:val="28"/>
          <w:szCs w:val="28"/>
        </w:rPr>
        <w:t>Тизим ишининг ишончли булишини таъминлаш учун уларга киритилган маълумотларни саклаш чоралари курилган булиши керак.</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Маълумотларни саклаш куйидагилар ёрдамида жисмоний химоя этишни назарда тутади: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*маълумотлардан резерв нусха олишдаги мунтазам жараёнларни;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*маълумотлар базасини бошлангич ахборотлар билан тулдиришдаги тартибни бошкариш;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*маълумотларни саклашни ажратилган маълумот базалари сифатида саклашни ташкил килиш;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*хужжатлар ва магнит усулида маълум таркатувчи воситаларни саклаш ва тартибини ташкил этиш;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*маълумотлар базаларининг нусхалари магнитли ахборот таркатувчи воситаларни ёнгиндан химоя килувчи шкафларда саклаш;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*ёнгин хавфи тугилганда ёнгинга карши ускуналардан фойдаланиш;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*узлуксиз электр билан таъминлаш ускуналаридан фойдаланиш;</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*маълумотларни сакланадиган ва ишланадиган биноларга киритишни тартибга солиш.</w:t>
      </w:r>
    </w:p>
    <w:p w:rsidR="00BB3AA2" w:rsidRDefault="00BB3AA2" w:rsidP="00BB3AA2">
      <w:pPr>
        <w:pStyle w:val="a3"/>
        <w:jc w:val="both"/>
        <w:rPr>
          <w:rFonts w:ascii="Times New Roman" w:hAnsi="Times New Roman" w:cs="Times New Roman"/>
          <w:sz w:val="28"/>
          <w:szCs w:val="28"/>
        </w:rPr>
      </w:pP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bCs/>
          <w:sz w:val="28"/>
          <w:szCs w:val="28"/>
          <w:u w:val="single"/>
        </w:rPr>
        <w:t>Ахборотларнинг яширин равишда чикиб кетишини химоя килишга булган талаблар.</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 xml:space="preserve">  Тизимда тупланадиган махфий маълумотларни химоя килиш чоралари назарда тутилиб, уларни яширин равишда чикиб кетишининг олди олиниши лозим.</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ab/>
        <w:t xml:space="preserve"> Хар бир турдаги аник маълумотлардан фойдаланиш тартиби ва улардан фойдаланувчилар доираси буюртмачи томонидан белгиланган булиб, ЯААТ тизимининг куйи тизимларини лойихалаштириш жараёнида аникланади.</w:t>
      </w:r>
    </w:p>
    <w:p w:rsidR="00BB3AA2" w:rsidRDefault="00BB3AA2" w:rsidP="00BB3AA2">
      <w:pPr>
        <w:pStyle w:val="a3"/>
        <w:ind w:left="708" w:firstLine="708"/>
        <w:jc w:val="both"/>
        <w:rPr>
          <w:rFonts w:ascii="Times New Roman" w:hAnsi="Times New Roman" w:cs="Times New Roman"/>
          <w:b/>
          <w:bCs/>
          <w:sz w:val="28"/>
          <w:szCs w:val="28"/>
          <w:u w:val="single"/>
        </w:rPr>
      </w:pPr>
      <w:r>
        <w:rPr>
          <w:rFonts w:ascii="Times New Roman" w:hAnsi="Times New Roman" w:cs="Times New Roman"/>
          <w:sz w:val="28"/>
          <w:szCs w:val="28"/>
        </w:rPr>
        <w:tab/>
      </w:r>
    </w:p>
    <w:p w:rsidR="00BB3AA2" w:rsidRDefault="00BB3AA2" w:rsidP="00BB3AA2">
      <w:pPr>
        <w:pStyle w:val="a3"/>
        <w:ind w:left="708" w:firstLine="708"/>
        <w:jc w:val="both"/>
        <w:rPr>
          <w:rFonts w:ascii="Times New Roman" w:hAnsi="Times New Roman" w:cs="Times New Roman"/>
          <w:b/>
          <w:bCs/>
          <w:sz w:val="28"/>
          <w:szCs w:val="28"/>
          <w:u w:val="single"/>
        </w:rPr>
      </w:pPr>
    </w:p>
    <w:p w:rsidR="00BB3AA2" w:rsidRDefault="00BB3AA2" w:rsidP="00BB3AA2">
      <w:pPr>
        <w:ind w:right="99" w:firstLine="900"/>
        <w:jc w:val="both"/>
        <w:rPr>
          <w:sz w:val="28"/>
          <w:szCs w:val="28"/>
        </w:rPr>
      </w:pPr>
      <w:r>
        <w:rPr>
          <w:b/>
          <w:bCs/>
          <w:sz w:val="28"/>
          <w:szCs w:val="28"/>
        </w:rPr>
        <w:t>Назорат саволлари:</w:t>
      </w:r>
    </w:p>
    <w:p w:rsidR="00BB3AA2" w:rsidRDefault="00BB3AA2" w:rsidP="00BB3AA2">
      <w:pPr>
        <w:ind w:right="99"/>
        <w:jc w:val="both"/>
        <w:rPr>
          <w:sz w:val="28"/>
          <w:szCs w:val="28"/>
        </w:rPr>
      </w:pPr>
      <w:r>
        <w:rPr>
          <w:sz w:val="28"/>
          <w:szCs w:val="28"/>
        </w:rPr>
        <w:t>1.Ахборотларни сакланишига булган талаблар кандай.</w:t>
      </w:r>
    </w:p>
    <w:p w:rsidR="00BB3AA2" w:rsidRDefault="00BB3AA2" w:rsidP="00BB3AA2">
      <w:pPr>
        <w:pStyle w:val="a3"/>
        <w:jc w:val="both"/>
        <w:rPr>
          <w:rFonts w:ascii="Times New Roman" w:hAnsi="Times New Roman" w:cs="Times New Roman"/>
          <w:sz w:val="28"/>
          <w:szCs w:val="28"/>
        </w:rPr>
      </w:pPr>
      <w:r>
        <w:rPr>
          <w:sz w:val="28"/>
          <w:szCs w:val="28"/>
        </w:rPr>
        <w:t>2.</w:t>
      </w:r>
      <w:r>
        <w:rPr>
          <w:rFonts w:ascii="Times New Roman" w:hAnsi="Times New Roman" w:cs="Times New Roman"/>
          <w:sz w:val="28"/>
          <w:szCs w:val="28"/>
        </w:rPr>
        <w:t>Маълумотларни рухсат этилмаган фойдаланишлардан химоя килишга булган талаблар.</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3.Ташки таъсирлардан саклаш чораларига булган талаблар.</w:t>
      </w:r>
    </w:p>
    <w:p w:rsidR="00BB3AA2" w:rsidRDefault="00BB3AA2" w:rsidP="00BB3AA2">
      <w:pPr>
        <w:ind w:right="99"/>
        <w:jc w:val="both"/>
        <w:rPr>
          <w:sz w:val="28"/>
          <w:szCs w:val="28"/>
        </w:rPr>
      </w:pPr>
      <w:r>
        <w:rPr>
          <w:sz w:val="28"/>
          <w:szCs w:val="28"/>
        </w:rPr>
        <w:t>4.Фойдаланиш, техник хизмат курсатиш, таъмирлаш ва саклаш учун булган талаблар.</w:t>
      </w:r>
    </w:p>
    <w:p w:rsidR="00BB3AA2" w:rsidRDefault="00BB3AA2" w:rsidP="00BB3AA2">
      <w:pPr>
        <w:ind w:right="99"/>
        <w:jc w:val="both"/>
        <w:rPr>
          <w:sz w:val="28"/>
          <w:szCs w:val="28"/>
        </w:rPr>
      </w:pPr>
      <w:r>
        <w:rPr>
          <w:sz w:val="28"/>
          <w:szCs w:val="28"/>
        </w:rPr>
        <w:lastRenderedPageBreak/>
        <w:t>5.Ягона автоматлашган ахборот тизимни (ЯААТ) тузишнинг максадлари.</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6.Узбекистон Республикаси Давлат божхона кумитасининг ягона автоматлашган ахборот тизими. (ЯААТ).</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7.Ягона автоматлашган ахборот тизимининг (ЯААТ) принциплари.</w:t>
      </w:r>
    </w:p>
    <w:p w:rsidR="00BB3AA2" w:rsidRDefault="00BB3AA2" w:rsidP="00BB3AA2">
      <w:pPr>
        <w:ind w:right="99"/>
        <w:jc w:val="both"/>
        <w:rPr>
          <w:sz w:val="28"/>
          <w:szCs w:val="28"/>
        </w:rPr>
      </w:pPr>
      <w:r>
        <w:rPr>
          <w:sz w:val="28"/>
          <w:szCs w:val="28"/>
        </w:rPr>
        <w:t>8.Узбекистон Республикаси Давлат божхона кумитасининг ягона автоматлашган ахборот тизими (ЯААТ).</w:t>
      </w:r>
    </w:p>
    <w:p w:rsidR="00BB3AA2" w:rsidRDefault="00BB3AA2" w:rsidP="00BB3AA2">
      <w:pPr>
        <w:ind w:right="99"/>
        <w:jc w:val="both"/>
        <w:rPr>
          <w:sz w:val="28"/>
          <w:szCs w:val="28"/>
        </w:rPr>
      </w:pPr>
      <w:r>
        <w:rPr>
          <w:sz w:val="28"/>
          <w:szCs w:val="28"/>
        </w:rPr>
        <w:t>9.Тизимнинг вазифалари.</w:t>
      </w:r>
    </w:p>
    <w:p w:rsidR="00BB3AA2" w:rsidRDefault="00BB3AA2" w:rsidP="00BB3AA2">
      <w:pPr>
        <w:ind w:right="99"/>
        <w:jc w:val="both"/>
        <w:rPr>
          <w:sz w:val="28"/>
          <w:szCs w:val="28"/>
        </w:rPr>
      </w:pPr>
      <w:r>
        <w:rPr>
          <w:sz w:val="28"/>
          <w:szCs w:val="28"/>
        </w:rPr>
        <w:t>10. Давлатнинг бож тарифини тартибга солишда техник тусикларни тутган урни.</w:t>
      </w:r>
    </w:p>
    <w:p w:rsidR="00BB3AA2" w:rsidRDefault="00BB3AA2" w:rsidP="00BB3AA2">
      <w:pPr>
        <w:ind w:right="-81" w:firstLine="1080"/>
        <w:jc w:val="both"/>
        <w:rPr>
          <w:b/>
          <w:bCs/>
          <w:sz w:val="28"/>
          <w:szCs w:val="28"/>
        </w:rPr>
      </w:pPr>
    </w:p>
    <w:p w:rsidR="00BB3AA2" w:rsidRDefault="00BB3AA2" w:rsidP="00BB3AA2">
      <w:pPr>
        <w:ind w:right="-81" w:firstLine="1080"/>
        <w:jc w:val="both"/>
        <w:rPr>
          <w:b/>
          <w:bCs/>
          <w:sz w:val="28"/>
          <w:szCs w:val="28"/>
        </w:rPr>
      </w:pPr>
      <w:r>
        <w:rPr>
          <w:b/>
          <w:bCs/>
          <w:sz w:val="28"/>
          <w:szCs w:val="28"/>
        </w:rPr>
        <w:t>Асосий адабиетлар.</w:t>
      </w:r>
    </w:p>
    <w:p w:rsidR="00BB3AA2" w:rsidRDefault="00BB3AA2" w:rsidP="00BB3AA2">
      <w:pPr>
        <w:pStyle w:val="a4"/>
        <w:ind w:firstLine="0"/>
      </w:pPr>
      <w:r>
        <w:t>1. И.А.Каримов – Узбекистон ХХ</w:t>
      </w:r>
      <w:r>
        <w:rPr>
          <w:lang w:val="en-US"/>
        </w:rPr>
        <w:t>I</w:t>
      </w:r>
      <w:r>
        <w:t xml:space="preserve"> асрга интиилмокда. Т: Узбекистон, 1999 й </w:t>
      </w:r>
    </w:p>
    <w:p w:rsidR="00BB3AA2" w:rsidRDefault="00BB3AA2" w:rsidP="00BB3AA2">
      <w:pPr>
        <w:ind w:right="-81"/>
        <w:jc w:val="both"/>
        <w:rPr>
          <w:sz w:val="28"/>
          <w:szCs w:val="28"/>
        </w:rPr>
      </w:pPr>
      <w:r>
        <w:rPr>
          <w:sz w:val="28"/>
          <w:szCs w:val="28"/>
        </w:rPr>
        <w:t xml:space="preserve">2. Е.Ф.Авдокушин – Международные экономические отношения. М: ИВЦ «Маркетинг», 1997 г </w:t>
      </w:r>
    </w:p>
    <w:p w:rsidR="00BB3AA2" w:rsidRDefault="00BB3AA2" w:rsidP="00BB3AA2">
      <w:pPr>
        <w:ind w:right="-81"/>
        <w:jc w:val="both"/>
        <w:rPr>
          <w:sz w:val="28"/>
          <w:szCs w:val="28"/>
        </w:rPr>
      </w:pPr>
      <w:r>
        <w:rPr>
          <w:sz w:val="28"/>
          <w:szCs w:val="28"/>
        </w:rPr>
        <w:t xml:space="preserve">3. В.И.Фомичев – Международная торговля. М: Инфра- М, 2001 г </w:t>
      </w:r>
    </w:p>
    <w:p w:rsidR="00BB3AA2" w:rsidRDefault="00BB3AA2" w:rsidP="00BB3AA2">
      <w:pPr>
        <w:ind w:right="-81"/>
        <w:jc w:val="both"/>
        <w:rPr>
          <w:sz w:val="28"/>
          <w:szCs w:val="28"/>
        </w:rPr>
      </w:pPr>
      <w:r>
        <w:rPr>
          <w:sz w:val="28"/>
          <w:szCs w:val="28"/>
        </w:rPr>
        <w:t>4. Дениелс Д, Радеба Ли Х – Международный бизнес. М: Дело, 1994 г</w:t>
      </w:r>
    </w:p>
    <w:p w:rsidR="00BB3AA2" w:rsidRDefault="00BB3AA2" w:rsidP="00BB3AA2">
      <w:pPr>
        <w:ind w:right="-81"/>
        <w:jc w:val="both"/>
        <w:rPr>
          <w:sz w:val="28"/>
          <w:szCs w:val="28"/>
        </w:rPr>
      </w:pPr>
      <w:r>
        <w:rPr>
          <w:sz w:val="28"/>
          <w:szCs w:val="28"/>
        </w:rPr>
        <w:t>5. Международные экономические отношения, Учебник, М.,Проспект, 2004 г.</w:t>
      </w:r>
    </w:p>
    <w:p w:rsidR="00BB3AA2" w:rsidRDefault="00BB3AA2" w:rsidP="00BB3AA2">
      <w:pPr>
        <w:ind w:right="-81"/>
        <w:jc w:val="both"/>
        <w:rPr>
          <w:sz w:val="28"/>
          <w:szCs w:val="28"/>
        </w:rPr>
      </w:pPr>
      <w:r>
        <w:rPr>
          <w:sz w:val="28"/>
          <w:szCs w:val="28"/>
        </w:rPr>
        <w:t>6. Международные экономические отношения,Учебник, М., Инфра-М, 2004 г.</w:t>
      </w:r>
    </w:p>
    <w:p w:rsidR="00BB3AA2" w:rsidRDefault="00BB3AA2" w:rsidP="00BB3AA2">
      <w:pPr>
        <w:ind w:left="1080" w:right="-81" w:hanging="1080"/>
        <w:jc w:val="center"/>
        <w:rPr>
          <w:b/>
          <w:bCs/>
          <w:sz w:val="28"/>
          <w:szCs w:val="28"/>
        </w:rPr>
      </w:pPr>
    </w:p>
    <w:p w:rsidR="00BB3AA2" w:rsidRDefault="00BB3AA2" w:rsidP="00BB3AA2">
      <w:pPr>
        <w:ind w:left="1080" w:right="-81"/>
        <w:rPr>
          <w:b/>
          <w:bCs/>
          <w:sz w:val="28"/>
          <w:szCs w:val="28"/>
        </w:rPr>
      </w:pPr>
      <w:r>
        <w:rPr>
          <w:b/>
          <w:bCs/>
          <w:sz w:val="28"/>
          <w:szCs w:val="28"/>
        </w:rPr>
        <w:t>Кушимча адабиетлар.</w:t>
      </w:r>
    </w:p>
    <w:p w:rsidR="00BB3AA2" w:rsidRDefault="00BB3AA2" w:rsidP="00BB3AA2">
      <w:pPr>
        <w:ind w:left="1080" w:right="-81"/>
        <w:rPr>
          <w:b/>
          <w:bCs/>
          <w:sz w:val="28"/>
          <w:szCs w:val="28"/>
        </w:rPr>
      </w:pPr>
      <w:r>
        <w:rPr>
          <w:b/>
          <w:bCs/>
          <w:sz w:val="28"/>
          <w:szCs w:val="28"/>
        </w:rPr>
        <w:t xml:space="preserve"> </w:t>
      </w:r>
    </w:p>
    <w:p w:rsidR="00BB3AA2" w:rsidRDefault="00BB3AA2" w:rsidP="00BB3AA2">
      <w:pPr>
        <w:pStyle w:val="a4"/>
        <w:ind w:firstLine="0"/>
      </w:pPr>
      <w:r>
        <w:t>1.Э.П.Бабин – Основы внешне экономической политики. Москва: Экономика, 1997г</w:t>
      </w:r>
    </w:p>
    <w:p w:rsidR="00BB3AA2" w:rsidRDefault="00BB3AA2" w:rsidP="00BB3AA2">
      <w:pPr>
        <w:pStyle w:val="a4"/>
        <w:ind w:firstLine="0"/>
      </w:pPr>
      <w:r>
        <w:t>2.И.И.Дюмулен – Всемирная торговая организация. М: Экономика, 2003 г.</w:t>
      </w:r>
    </w:p>
    <w:p w:rsidR="00BB3AA2" w:rsidRDefault="00BB3AA2" w:rsidP="00BB3AA2">
      <w:pPr>
        <w:pStyle w:val="a4"/>
        <w:ind w:firstLine="0"/>
      </w:pPr>
      <w:r>
        <w:t xml:space="preserve">3.Внешнеторговая политика: выбор стратегии для Узбекистана. Ж: Экономическое обозрение №1(11), 2000 г </w:t>
      </w:r>
    </w:p>
    <w:p w:rsidR="00BB3AA2" w:rsidRDefault="00BB3AA2" w:rsidP="00BB3AA2">
      <w:pPr>
        <w:pStyle w:val="a4"/>
        <w:ind w:firstLine="0"/>
      </w:pPr>
      <w:r>
        <w:t>4. В.К.Ломакин – Мировая экономика, П-изд., Учебник, М., ЮНИТИ, 2004й.</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5.Таможенное дело. Учебник 2003.</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contextbookdetailhtml</w:t>
      </w:r>
      <w:r>
        <w:rPr>
          <w:rFonts w:ascii="Times New Roman" w:hAnsi="Times New Roman" w:cs="Times New Roman"/>
          <w:sz w:val="28"/>
          <w:szCs w:val="28"/>
          <w:u w:val="single"/>
        </w:rPr>
        <w:t>?10=64-24</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rPr>
        <w:t>6.Менеджмент, маркетинг, таможенное дело (2003) Учебник предназначен для студентов высших учебных заведений.</w:t>
      </w:r>
    </w:p>
    <w:p w:rsidR="00BB3AA2" w:rsidRDefault="00BB3AA2" w:rsidP="00BB3AA2">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contextcatalogpage</w:t>
      </w:r>
      <w:r>
        <w:rPr>
          <w:rFonts w:ascii="Times New Roman" w:hAnsi="Times New Roman" w:cs="Times New Roman"/>
          <w:sz w:val="28"/>
          <w:szCs w:val="28"/>
          <w:u w:val="single"/>
        </w:rPr>
        <w:t>.</w:t>
      </w:r>
      <w:r>
        <w:rPr>
          <w:rFonts w:ascii="Times New Roman" w:hAnsi="Times New Roman" w:cs="Times New Roman"/>
          <w:sz w:val="28"/>
          <w:szCs w:val="28"/>
          <w:u w:val="single"/>
          <w:lang w:val="en-US"/>
        </w:rPr>
        <w:t>html</w:t>
      </w:r>
      <w:r>
        <w:rPr>
          <w:rFonts w:ascii="Times New Roman" w:hAnsi="Times New Roman" w:cs="Times New Roman"/>
          <w:sz w:val="28"/>
          <w:szCs w:val="28"/>
          <w:u w:val="single"/>
        </w:rPr>
        <w:t>?</w:t>
      </w:r>
      <w:r>
        <w:rPr>
          <w:rFonts w:ascii="Times New Roman" w:hAnsi="Times New Roman" w:cs="Times New Roman"/>
          <w:sz w:val="28"/>
          <w:szCs w:val="28"/>
          <w:u w:val="single"/>
          <w:lang w:val="en-US"/>
        </w:rPr>
        <w:t>clsld</w:t>
      </w:r>
      <w:r>
        <w:rPr>
          <w:rFonts w:ascii="Times New Roman" w:hAnsi="Times New Roman" w:cs="Times New Roman"/>
          <w:sz w:val="28"/>
          <w:szCs w:val="28"/>
          <w:u w:val="single"/>
        </w:rPr>
        <w:t>=1-85</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r>
        <w:rPr>
          <w:rFonts w:ascii="Times New Roman" w:hAnsi="Times New Roman" w:cs="Times New Roman"/>
          <w:sz w:val="28"/>
          <w:szCs w:val="28"/>
        </w:rPr>
        <w:t xml:space="preserve"> </w:t>
      </w:r>
    </w:p>
    <w:p w:rsidR="00BB3AA2" w:rsidRDefault="00BB3AA2" w:rsidP="00BB3AA2">
      <w:pPr>
        <w:overflowPunct w:val="0"/>
        <w:autoSpaceDE w:val="0"/>
        <w:autoSpaceDN w:val="0"/>
        <w:adjustRightInd w:val="0"/>
        <w:rPr>
          <w:sz w:val="28"/>
          <w:szCs w:val="28"/>
        </w:rPr>
      </w:pPr>
      <w:r>
        <w:rPr>
          <w:sz w:val="28"/>
          <w:szCs w:val="28"/>
        </w:rPr>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520 с.</w:t>
      </w:r>
    </w:p>
    <w:p w:rsidR="00BB3AA2" w:rsidRDefault="00BB3AA2" w:rsidP="00BB3AA2">
      <w:pPr>
        <w:overflowPunct w:val="0"/>
        <w:autoSpaceDE w:val="0"/>
        <w:autoSpaceDN w:val="0"/>
        <w:adjustRightInd w:val="0"/>
        <w:jc w:val="both"/>
        <w:rPr>
          <w:sz w:val="28"/>
          <w:szCs w:val="28"/>
        </w:rPr>
      </w:pPr>
      <w:r>
        <w:rPr>
          <w:sz w:val="28"/>
          <w:szCs w:val="28"/>
        </w:rPr>
        <w:t>8.Таможенное дело. Учебник 2004.</w:t>
      </w:r>
    </w:p>
    <w:p w:rsidR="00BB3AA2" w:rsidRDefault="00BB3AA2" w:rsidP="00BB3AA2">
      <w:pPr>
        <w:rPr>
          <w:sz w:val="28"/>
          <w:szCs w:val="28"/>
        </w:rPr>
      </w:pPr>
      <w:r>
        <w:rPr>
          <w:sz w:val="28"/>
          <w:szCs w:val="28"/>
          <w:u w:val="single"/>
          <w:lang w:val="en-US"/>
        </w:rPr>
        <w:t>www</w:t>
      </w:r>
      <w:r>
        <w:rPr>
          <w:sz w:val="28"/>
          <w:szCs w:val="28"/>
          <w:u w:val="single"/>
        </w:rPr>
        <w:t>.</w:t>
      </w:r>
      <w:r>
        <w:rPr>
          <w:sz w:val="28"/>
          <w:szCs w:val="28"/>
          <w:u w:val="single"/>
          <w:lang w:val="en-US"/>
        </w:rPr>
        <w:t>professija</w:t>
      </w:r>
      <w:r>
        <w:rPr>
          <w:sz w:val="28"/>
          <w:szCs w:val="28"/>
          <w:u w:val="single"/>
        </w:rPr>
        <w:t>.</w:t>
      </w:r>
      <w:r>
        <w:rPr>
          <w:sz w:val="28"/>
          <w:szCs w:val="28"/>
          <w:u w:val="single"/>
          <w:lang w:val="en-US"/>
        </w:rPr>
        <w:t>ru</w:t>
      </w:r>
      <w:r>
        <w:rPr>
          <w:sz w:val="28"/>
          <w:szCs w:val="28"/>
          <w:u w:val="single"/>
        </w:rPr>
        <w:t>/</w:t>
      </w:r>
      <w:r>
        <w:rPr>
          <w:sz w:val="28"/>
          <w:szCs w:val="28"/>
          <w:u w:val="single"/>
          <w:lang w:val="en-US"/>
        </w:rPr>
        <w:t>textbook</w:t>
      </w:r>
      <w:r>
        <w:rPr>
          <w:sz w:val="28"/>
          <w:szCs w:val="28"/>
          <w:u w:val="single"/>
        </w:rPr>
        <w:t>-</w:t>
      </w:r>
      <w:r>
        <w:rPr>
          <w:sz w:val="28"/>
          <w:szCs w:val="28"/>
          <w:u w:val="single"/>
          <w:lang w:val="en-US"/>
        </w:rPr>
        <w:t>condetailhtml</w:t>
      </w:r>
      <w:r>
        <w:rPr>
          <w:sz w:val="28"/>
          <w:szCs w:val="28"/>
          <w:u w:val="single"/>
        </w:rPr>
        <w:t>?13//12-6</w:t>
      </w:r>
      <w:r>
        <w:rPr>
          <w:sz w:val="28"/>
          <w:szCs w:val="28"/>
          <w:u w:val="single"/>
          <w:lang w:val="en-US"/>
        </w:rPr>
        <w:t>k</w:t>
      </w:r>
      <w:r>
        <w:rPr>
          <w:sz w:val="28"/>
          <w:szCs w:val="28"/>
          <w:u w:val="single"/>
        </w:rPr>
        <w:t>.</w:t>
      </w:r>
    </w:p>
    <w:p w:rsidR="00BB3AA2" w:rsidRDefault="00BB3AA2" w:rsidP="00BB3AA2">
      <w:pPr>
        <w:rPr>
          <w:sz w:val="28"/>
          <w:szCs w:val="28"/>
        </w:rPr>
      </w:pPr>
      <w:r>
        <w:rPr>
          <w:sz w:val="28"/>
          <w:szCs w:val="28"/>
        </w:rPr>
        <w:t>9.Жиряева Е.В. Экспертиза в таможенном деле и международной торговле. Классификация. Экспертиза.Оценка. – СПб.: Питер, 2003. – 557с.</w:t>
      </w:r>
    </w:p>
    <w:p w:rsidR="00BB3AA2" w:rsidRDefault="00BB3AA2" w:rsidP="00BB3AA2">
      <w:pPr>
        <w:rPr>
          <w:sz w:val="28"/>
          <w:szCs w:val="28"/>
        </w:rPr>
      </w:pPr>
      <w:r>
        <w:rPr>
          <w:sz w:val="28"/>
          <w:szCs w:val="28"/>
        </w:rPr>
        <w:t>10.Миляков Н.В. Таможенная пошлина. – М.: Фин. И статистика, 2004. – 256с.</w:t>
      </w:r>
    </w:p>
    <w:p w:rsidR="00BB3AA2" w:rsidRDefault="00BB3AA2" w:rsidP="00BB3AA2">
      <w:pPr>
        <w:rPr>
          <w:sz w:val="28"/>
          <w:szCs w:val="28"/>
        </w:rPr>
      </w:pPr>
      <w:r>
        <w:rPr>
          <w:sz w:val="28"/>
          <w:szCs w:val="28"/>
        </w:rPr>
        <w:t>11. Соболевская С.Ю.Таможенная пошлина. –М.: Бератор, 2003. – 160с.</w:t>
      </w:r>
    </w:p>
    <w:p w:rsidR="00BB3AA2" w:rsidRDefault="00BB3AA2" w:rsidP="00BB3AA2">
      <w:pPr>
        <w:rPr>
          <w:sz w:val="28"/>
          <w:szCs w:val="28"/>
        </w:rPr>
      </w:pPr>
      <w:r>
        <w:rPr>
          <w:sz w:val="28"/>
          <w:szCs w:val="28"/>
        </w:rPr>
        <w:t xml:space="preserve">12. Таможенное право. Экзаменационные ответы. Шпаргалки. – М.: БУКЛАЙН, 2004.  </w:t>
      </w:r>
    </w:p>
    <w:p w:rsidR="00BB3AA2" w:rsidRDefault="00BB3AA2" w:rsidP="00BB3AA2">
      <w:pPr>
        <w:jc w:val="both"/>
        <w:rPr>
          <w:sz w:val="28"/>
          <w:szCs w:val="28"/>
        </w:rPr>
      </w:pPr>
      <w:r>
        <w:rPr>
          <w:rFonts w:ascii="Arial CYR" w:hAnsi="Arial CYR" w:cs="Arial CYR"/>
          <w:sz w:val="28"/>
          <w:szCs w:val="28"/>
        </w:rPr>
        <w:lastRenderedPageBreak/>
        <w:t xml:space="preserve">13. </w:t>
      </w:r>
      <w:hyperlink r:id="rId5" w:history="1">
        <w:r>
          <w:rPr>
            <w:rStyle w:val="a6"/>
            <w:rFonts w:ascii="Arial CYR" w:hAnsi="Arial CYR" w:cs="Arial CYR"/>
            <w:sz w:val="28"/>
            <w:szCs w:val="28"/>
          </w:rPr>
          <w:t xml:space="preserve">Таможенные пошлины, акцизы 2004. </w:t>
        </w:r>
      </w:hyperlink>
      <w:r>
        <w:rPr>
          <w:rFonts w:ascii="Arial CYR" w:hAnsi="Arial CYR" w:cs="Arial CYR"/>
          <w:sz w:val="28"/>
          <w:szCs w:val="28"/>
        </w:rPr>
        <w:t xml:space="preserve"> Издательство: "ЦЭМ" Год издания: 2004, страниц: 152 ISBN: 5-85873-095-7, формат: 60х88/16 </w:t>
      </w:r>
    </w:p>
    <w:p w:rsidR="00BB3AA2" w:rsidRDefault="00BB3AA2" w:rsidP="00BB3AA2">
      <w:pPr>
        <w:jc w:val="both"/>
        <w:rPr>
          <w:sz w:val="28"/>
          <w:szCs w:val="28"/>
        </w:rPr>
      </w:pPr>
      <w:r>
        <w:rPr>
          <w:rFonts w:ascii="Arial CYR" w:hAnsi="Arial CYR" w:cs="Arial CYR"/>
          <w:sz w:val="28"/>
          <w:szCs w:val="28"/>
        </w:rPr>
        <w:t xml:space="preserve">14. </w:t>
      </w:r>
      <w:hyperlink r:id="rId6" w:history="1">
        <w:r>
          <w:rPr>
            <w:rStyle w:val="a6"/>
            <w:rFonts w:ascii="Arial CYR" w:hAnsi="Arial CYR" w:cs="Arial CYR"/>
            <w:sz w:val="28"/>
            <w:szCs w:val="28"/>
          </w:rPr>
          <w:t xml:space="preserve">Таможенный тариф Российской Федерации </w:t>
        </w:r>
      </w:hyperlink>
      <w:r>
        <w:rPr>
          <w:rFonts w:ascii="Arial CYR" w:hAnsi="Arial CYR" w:cs="Arial CYR"/>
          <w:sz w:val="28"/>
          <w:szCs w:val="28"/>
        </w:rPr>
        <w:t>/Издательство: "Нет данных по издательству" Год издания: 2004, страниц: 576</w:t>
      </w:r>
    </w:p>
    <w:p w:rsidR="00BB3AA2" w:rsidRDefault="00BB3AA2" w:rsidP="00BB3AA2">
      <w:pPr>
        <w:pStyle w:val="2"/>
        <w:jc w:val="left"/>
        <w:rPr>
          <w:sz w:val="28"/>
          <w:szCs w:val="28"/>
        </w:rPr>
      </w:pPr>
      <w:r>
        <w:rPr>
          <w:sz w:val="28"/>
          <w:szCs w:val="28"/>
        </w:rPr>
        <w:t>15. Комментарий к Российскому таможенному Кодексу, М., Изд. Экзамен, 2004 г.</w:t>
      </w:r>
    </w:p>
    <w:p w:rsidR="00BB3AA2" w:rsidRDefault="00BB3AA2" w:rsidP="00BB3AA2">
      <w:pPr>
        <w:ind w:right="-81"/>
        <w:jc w:val="both"/>
        <w:rPr>
          <w:b/>
          <w:bCs/>
          <w:sz w:val="28"/>
          <w:szCs w:val="28"/>
        </w:rPr>
      </w:pPr>
      <w:r>
        <w:rPr>
          <w:sz w:val="28"/>
          <w:szCs w:val="28"/>
        </w:rPr>
        <w:t>16.Свихунов В.Г. Таможенно-тарифное регулирование внешнеэкономической деятельности. Учеб. пособие. – М.: Экономист, 2004. – 455с.</w:t>
      </w:r>
    </w:p>
    <w:p w:rsidR="00BB3AA2" w:rsidRDefault="00BB3AA2" w:rsidP="00BB3AA2">
      <w:pPr>
        <w:ind w:right="-81"/>
        <w:jc w:val="both"/>
        <w:rPr>
          <w:b/>
          <w:bCs/>
          <w:sz w:val="28"/>
          <w:szCs w:val="28"/>
        </w:rPr>
      </w:pPr>
    </w:p>
    <w:p w:rsidR="00726759" w:rsidRDefault="00726759"/>
    <w:sectPr w:rsidR="00726759" w:rsidSect="007267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Futuris UZ">
    <w:altName w:val="Century Gothic"/>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4C0637C"/>
    <w:lvl w:ilvl="0">
      <w:numFmt w:val="decimal"/>
      <w:lvlText w:val="*"/>
      <w:lvlJc w:val="left"/>
    </w:lvl>
  </w:abstractNum>
  <w:num w:numId="1">
    <w:abstractNumId w:val="0"/>
    <w:lvlOverride w:ilvl="0">
      <w:lvl w:ilvl="0">
        <w:start w:val="1"/>
        <w:numFmt w:val="bullet"/>
        <w:lvlText w:val=""/>
        <w:legacy w:legacy="1" w:legacySpace="0" w:legacyIndent="283"/>
        <w:lvlJc w:val="left"/>
        <w:pPr>
          <w:ind w:left="283" w:hanging="283"/>
        </w:pPr>
        <w:rPr>
          <w:rFonts w:ascii="Symbol" w:hAnsi="Symbol" w:cs="Symbol" w:hint="default"/>
          <w:b w:val="0"/>
          <w:bCs w:val="0"/>
          <w:i w:val="0"/>
          <w:iCs w:val="0"/>
          <w:sz w:val="28"/>
          <w:szCs w:val="28"/>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BB3AA2"/>
    <w:rsid w:val="00726759"/>
    <w:rsid w:val="00BB3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AA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Íîðìàëüíûé"/>
    <w:uiPriority w:val="99"/>
    <w:rsid w:val="00BB3AA2"/>
    <w:pPr>
      <w:autoSpaceDE w:val="0"/>
      <w:autoSpaceDN w:val="0"/>
      <w:adjustRightInd w:val="0"/>
      <w:spacing w:after="0" w:line="240" w:lineRule="auto"/>
    </w:pPr>
    <w:rPr>
      <w:rFonts w:ascii="PANDA Futuris UZ" w:eastAsia="Times New Roman" w:hAnsi="PANDA Futuris UZ" w:cs="PANDA Futuris UZ"/>
      <w:sz w:val="20"/>
      <w:szCs w:val="20"/>
      <w:lang w:eastAsia="ru-RU"/>
    </w:rPr>
  </w:style>
  <w:style w:type="paragraph" w:styleId="a4">
    <w:name w:val="Body Text Indent"/>
    <w:basedOn w:val="a"/>
    <w:link w:val="a5"/>
    <w:uiPriority w:val="99"/>
    <w:rsid w:val="00BB3AA2"/>
    <w:pPr>
      <w:ind w:firstLine="900"/>
      <w:jc w:val="both"/>
    </w:pPr>
    <w:rPr>
      <w:sz w:val="28"/>
      <w:szCs w:val="28"/>
    </w:rPr>
  </w:style>
  <w:style w:type="character" w:customStyle="1" w:styleId="a5">
    <w:name w:val="Основной текст с отступом Знак"/>
    <w:basedOn w:val="a0"/>
    <w:link w:val="a4"/>
    <w:uiPriority w:val="99"/>
    <w:rsid w:val="00BB3AA2"/>
    <w:rPr>
      <w:rFonts w:ascii="Times New Roman" w:eastAsia="Times New Roman" w:hAnsi="Times New Roman" w:cs="Times New Roman"/>
      <w:sz w:val="28"/>
      <w:szCs w:val="28"/>
      <w:lang w:eastAsia="ru-RU"/>
    </w:rPr>
  </w:style>
  <w:style w:type="paragraph" w:styleId="2">
    <w:name w:val="Body Text 2"/>
    <w:basedOn w:val="a"/>
    <w:link w:val="20"/>
    <w:uiPriority w:val="99"/>
    <w:rsid w:val="00BB3AA2"/>
    <w:pPr>
      <w:jc w:val="center"/>
    </w:pPr>
    <w:rPr>
      <w:sz w:val="22"/>
      <w:szCs w:val="22"/>
    </w:rPr>
  </w:style>
  <w:style w:type="character" w:customStyle="1" w:styleId="20">
    <w:name w:val="Основной текст 2 Знак"/>
    <w:basedOn w:val="a0"/>
    <w:link w:val="2"/>
    <w:uiPriority w:val="99"/>
    <w:rsid w:val="00BB3AA2"/>
    <w:rPr>
      <w:rFonts w:ascii="Times New Roman" w:eastAsia="Times New Roman" w:hAnsi="Times New Roman" w:cs="Times New Roman"/>
      <w:lang w:eastAsia="ru-RU"/>
    </w:rPr>
  </w:style>
  <w:style w:type="character" w:styleId="a6">
    <w:name w:val="Hyperlink"/>
    <w:basedOn w:val="a0"/>
    <w:uiPriority w:val="99"/>
    <w:rsid w:val="00BB3AA2"/>
    <w:rPr>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libri.ru/zakaz.asp?cod=116612&amp;prt=82" TargetMode="External"/><Relationship Id="rId5" Type="http://schemas.openxmlformats.org/officeDocument/2006/relationships/hyperlink" Target="http://www.colibri.ru/zakaz.asp?cod=117431&amp;prt=8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2478</Words>
  <Characters>14125</Characters>
  <Application>Microsoft Office Word</Application>
  <DocSecurity>0</DocSecurity>
  <Lines>117</Lines>
  <Paragraphs>33</Paragraphs>
  <ScaleCrop>false</ScaleCrop>
  <Company>Melkosoft</Company>
  <LinksUpToDate>false</LinksUpToDate>
  <CharactersWithSpaces>16570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2011-04-22T09:23:00Z</dcterms:created>
  <dcterms:modified xsi:type="dcterms:W3CDTF">2011-04-22T09:23:00Z</dcterms:modified>
</cp:coreProperties>
</file>